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D5215E"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06079E" w:rsidRDefault="002B2555" w:rsidP="00B50971">
      <w:pPr>
        <w:jc w:val="center"/>
        <w:rPr>
          <w:b/>
        </w:rPr>
      </w:pPr>
      <w:r>
        <w:rPr>
          <w:b/>
        </w:rPr>
        <w:t>KLAIPĖDOS „SAULĖTE</w:t>
      </w:r>
      <w:r w:rsidRPr="002B2555">
        <w:rPr>
          <w:b/>
        </w:rPr>
        <w:t>KIO</w:t>
      </w:r>
      <w:r>
        <w:rPr>
          <w:b/>
        </w:rPr>
        <w:t>“</w:t>
      </w:r>
      <w:r w:rsidRPr="002B2555">
        <w:rPr>
          <w:b/>
        </w:rPr>
        <w:t xml:space="preserve"> PROGIMNAZIJOS 2022 METŲ VEIKLOS ATASKAITA</w:t>
      </w:r>
    </w:p>
    <w:p w:rsidR="00832CC9" w:rsidRPr="00F72A1E" w:rsidRDefault="00832CC9" w:rsidP="0006079E">
      <w:pPr>
        <w:jc w:val="center"/>
      </w:pPr>
    </w:p>
    <w:p w:rsidR="002B2555" w:rsidRDefault="00F809EE" w:rsidP="002B2555">
      <w:pPr>
        <w:pStyle w:val="prastasiniatinklio"/>
        <w:spacing w:before="0" w:beforeAutospacing="0" w:after="0" w:afterAutospacing="0"/>
        <w:ind w:firstLine="709"/>
        <w:jc w:val="both"/>
        <w:rPr>
          <w:color w:val="000000"/>
        </w:rPr>
      </w:pPr>
      <w:r>
        <w:rPr>
          <w:color w:val="000000"/>
        </w:rPr>
        <w:t>Klaipėdos „Saulėtekio“ progimnazija (toliau – Progimnazija) įgyvendina pradinio</w:t>
      </w:r>
      <w:r w:rsidR="00D23A87">
        <w:rPr>
          <w:color w:val="000000"/>
        </w:rPr>
        <w:t>,</w:t>
      </w:r>
      <w:r>
        <w:rPr>
          <w:color w:val="000000"/>
        </w:rPr>
        <w:t xml:space="preserve"> pagrindinio ugdymo I dalies</w:t>
      </w:r>
      <w:r w:rsidR="00D23A87">
        <w:rPr>
          <w:color w:val="000000"/>
        </w:rPr>
        <w:t>, neformaliojo vaikų švietimo</w:t>
      </w:r>
      <w:r>
        <w:rPr>
          <w:color w:val="000000"/>
        </w:rPr>
        <w:t xml:space="preserve"> programas. 2022-09-01 duomenimis</w:t>
      </w:r>
      <w:r w:rsidR="00D23A87">
        <w:rPr>
          <w:color w:val="000000"/>
        </w:rPr>
        <w:t>,</w:t>
      </w:r>
      <w:r>
        <w:rPr>
          <w:color w:val="000000"/>
        </w:rPr>
        <w:t xml:space="preserve"> Progimnazijoje sukomplektuota 19 klasių (2021 m. – 18), </w:t>
      </w:r>
      <w:r w:rsidRPr="00804381">
        <w:rPr>
          <w:color w:val="000000"/>
        </w:rPr>
        <w:t>ugdyti 469 mokiniai</w:t>
      </w:r>
      <w:r>
        <w:rPr>
          <w:color w:val="000000"/>
        </w:rPr>
        <w:t xml:space="preserve"> (2021 m. – 382, 2020 m. – 329), iš jų</w:t>
      </w:r>
      <w:r w:rsidR="00D23A87">
        <w:rPr>
          <w:color w:val="000000"/>
        </w:rPr>
        <w:t>:</w:t>
      </w:r>
      <w:r>
        <w:rPr>
          <w:color w:val="000000"/>
        </w:rPr>
        <w:t xml:space="preserve"> 232 1–4 ir 237 5–8 klasėse. Ugdymo programas įgyvendino 44 (33,96 etato) pedagoginiai darbuotojai (2021 m. –25,96 etato), iš jų 5 pagalbos specialistai: socialinis pedagogas (1 etatas), logopedas (1 etatas), specialieji pedagogai (1 etatas), psichologas (1 etatas). 2022-09-01 duomenimis</w:t>
      </w:r>
      <w:r w:rsidR="00D23A87">
        <w:rPr>
          <w:color w:val="000000"/>
        </w:rPr>
        <w:t>,</w:t>
      </w:r>
      <w:r>
        <w:rPr>
          <w:color w:val="000000"/>
        </w:rPr>
        <w:t xml:space="preserve"> mokinius ugdė 15 mokytojų metodininkų, 10 vyresniųjų mokytojų, 15 mokytojų kvalifikacin</w:t>
      </w:r>
      <w:r w:rsidR="00D23A87">
        <w:rPr>
          <w:color w:val="000000"/>
        </w:rPr>
        <w:t>es</w:t>
      </w:r>
      <w:r>
        <w:rPr>
          <w:color w:val="000000"/>
        </w:rPr>
        <w:t xml:space="preserve"> kategorij</w:t>
      </w:r>
      <w:r w:rsidR="00D23A87">
        <w:rPr>
          <w:color w:val="000000"/>
        </w:rPr>
        <w:t>as</w:t>
      </w:r>
      <w:r>
        <w:rPr>
          <w:color w:val="000000"/>
        </w:rPr>
        <w:t xml:space="preserve"> turinčių pedagogų (25,96 etato). Įstaigoje dirbo 17 nepedagoginių darbuotojų: pavaduotojas ūkiui, 4 techniniai darbuotojai, 12 aptarnaujančiojo personalo darbuotojų. Praėjusiais metais Progimnazija veikė</w:t>
      </w:r>
      <w:r w:rsidR="00D23A87">
        <w:rPr>
          <w:color w:val="000000"/>
        </w:rPr>
        <w:t>,</w:t>
      </w:r>
      <w:r>
        <w:rPr>
          <w:color w:val="000000"/>
        </w:rPr>
        <w:t xml:space="preserve"> vadovaudamasi 2022–2024 metų strateginiu planu (toliau – Strateginis planas) ir 2022 metų veiklos planu (toliau – Veiklos planas). Progimnazijos bendruomenė 2022 m. išsikėlė šias prioritetinės veiklos kryptis: 1) bendruomenės narių lyderystės gebėjimų plėtojimas; 2) pedagogų skaitmeninio raštingumo tobulinimas. Strateginiams tikslams įgyvendinti Strateginiame ir Veiklos planuose buvo iškelti konkretūs veiklos tikslai ir uždaviniai, numatytos pamatuotos priemonės laukiamam rezultatui pasiekti. </w:t>
      </w:r>
    </w:p>
    <w:p w:rsidR="00BB2FEF" w:rsidRDefault="00F809EE" w:rsidP="002B2555">
      <w:pPr>
        <w:pStyle w:val="prastasiniatinklio"/>
        <w:spacing w:before="0" w:beforeAutospacing="0" w:after="0" w:afterAutospacing="0"/>
        <w:ind w:firstLine="709"/>
        <w:jc w:val="both"/>
        <w:rPr>
          <w:color w:val="000000"/>
        </w:rPr>
      </w:pPr>
      <w:r>
        <w:rPr>
          <w:color w:val="000000"/>
        </w:rPr>
        <w:t>Įgyvendinant pirmąjį strateginį tikslą – užtikrinti kokybišką ugdymo proceso organizavimą – Progimnazijos veikla buvo orientuojama į ugdymo(</w:t>
      </w:r>
      <w:proofErr w:type="spellStart"/>
      <w:r>
        <w:rPr>
          <w:color w:val="000000"/>
        </w:rPr>
        <w:t>si</w:t>
      </w:r>
      <w:proofErr w:type="spellEnd"/>
      <w:r>
        <w:rPr>
          <w:color w:val="000000"/>
        </w:rPr>
        <w:t xml:space="preserve">) ir mokinių patirčių, pagalbos mokiniui ir pozityvios emocinės aplinkos tobulinimą. Tikslui pasiekti buvo vykdomi trys Veiklos plano uždaviniai: įgyvendinant pirmąjį uždavinį – sudaryti sąlygas ugdyti vaikus pagal bendrojo ugdymo, individualizuotas ir neformaliojo švietimo programas – buvo sėkmingai įvykdytos įvairiapusiškos veiklos. Siekiant nuosekliai ugdyti tiek dalykines, tiek bendrąsias mokinių kompetencijas siejant formalųjį bei neformalųjį švietimą, įgyvendintos 73 ugdomosios veiklos įvairiose edukacinėse aplinkose: Mažosios Lietuvos istorijos muziejuje, Laikrodžių muziejuje, Prano </w:t>
      </w:r>
      <w:proofErr w:type="spellStart"/>
      <w:r>
        <w:rPr>
          <w:color w:val="000000"/>
        </w:rPr>
        <w:t>Domšaičio</w:t>
      </w:r>
      <w:proofErr w:type="spellEnd"/>
      <w:r>
        <w:rPr>
          <w:color w:val="000000"/>
        </w:rPr>
        <w:t xml:space="preserve"> galerijoje, Klaipėdos etnokultūros centre, Kultūros fabrike, miesto bibliotekose, parkuose</w:t>
      </w:r>
      <w:r w:rsidR="00BB552B">
        <w:rPr>
          <w:color w:val="000000"/>
        </w:rPr>
        <w:t>.</w:t>
      </w:r>
      <w:r>
        <w:rPr>
          <w:color w:val="000000"/>
        </w:rPr>
        <w:t xml:space="preserve"> Progimnazijos ugdytiniai anglų, prancūzų kalbų ir IT kompetencijas gilino</w:t>
      </w:r>
      <w:r w:rsidR="00BB552B">
        <w:rPr>
          <w:color w:val="000000"/>
        </w:rPr>
        <w:t>,</w:t>
      </w:r>
      <w:r>
        <w:rPr>
          <w:color w:val="000000"/>
        </w:rPr>
        <w:t xml:space="preserve"> dalyvaudami tarptautiniuose Europos bendruomenės „</w:t>
      </w:r>
      <w:proofErr w:type="spellStart"/>
      <w:r>
        <w:rPr>
          <w:color w:val="000000"/>
        </w:rPr>
        <w:t>eTwinning</w:t>
      </w:r>
      <w:proofErr w:type="spellEnd"/>
      <w:r>
        <w:rPr>
          <w:color w:val="000000"/>
        </w:rPr>
        <w:t>“ projektuose: „</w:t>
      </w:r>
      <w:proofErr w:type="spellStart"/>
      <w:r>
        <w:rPr>
          <w:color w:val="000000"/>
        </w:rPr>
        <w:t>Chainreactionfor</w:t>
      </w:r>
      <w:proofErr w:type="spellEnd"/>
      <w:r>
        <w:rPr>
          <w:color w:val="000000"/>
        </w:rPr>
        <w:t xml:space="preserve"> a </w:t>
      </w:r>
      <w:proofErr w:type="spellStart"/>
      <w:r>
        <w:rPr>
          <w:color w:val="000000"/>
        </w:rPr>
        <w:t>more</w:t>
      </w:r>
      <w:proofErr w:type="spellEnd"/>
      <w:r>
        <w:rPr>
          <w:color w:val="000000"/>
        </w:rPr>
        <w:t xml:space="preserve"> – </w:t>
      </w:r>
      <w:proofErr w:type="spellStart"/>
      <w:r>
        <w:rPr>
          <w:color w:val="000000"/>
        </w:rPr>
        <w:t>beautifulworld</w:t>
      </w:r>
      <w:proofErr w:type="spellEnd"/>
      <w:r>
        <w:rPr>
          <w:color w:val="000000"/>
        </w:rPr>
        <w:t>“, „Linksmasis programuotojas“, „</w:t>
      </w:r>
      <w:proofErr w:type="spellStart"/>
      <w:r>
        <w:rPr>
          <w:color w:val="000000"/>
        </w:rPr>
        <w:t>Future</w:t>
      </w:r>
      <w:proofErr w:type="spellEnd"/>
      <w:r>
        <w:rPr>
          <w:color w:val="000000"/>
        </w:rPr>
        <w:t xml:space="preserve"> </w:t>
      </w:r>
      <w:proofErr w:type="spellStart"/>
      <w:r>
        <w:rPr>
          <w:color w:val="000000"/>
        </w:rPr>
        <w:t>Journeywith</w:t>
      </w:r>
      <w:proofErr w:type="spellEnd"/>
      <w:r>
        <w:rPr>
          <w:color w:val="000000"/>
        </w:rPr>
        <w:t xml:space="preserve"> STEM“. Teorijos ir praktikos dermė ugdymo procese buvo įgyvendinta</w:t>
      </w:r>
      <w:r w:rsidR="00BB552B">
        <w:rPr>
          <w:color w:val="000000"/>
        </w:rPr>
        <w:t>,</w:t>
      </w:r>
      <w:r>
        <w:rPr>
          <w:color w:val="000000"/>
        </w:rPr>
        <w:t xml:space="preserve"> dalyvaujant integruotuose gamtos, socialinių mokslų, technologijų, menų dalykiniuose projektuose „Žalioji odisėja. Jaunučiai 22“, „Tarptautinė Žemės diena“, ,,Mėnuo be patyčių“, „Mokausi iš kino“, „Klimato savaitė 2022“, „</w:t>
      </w:r>
      <w:proofErr w:type="spellStart"/>
      <w:r>
        <w:rPr>
          <w:color w:val="000000"/>
        </w:rPr>
        <w:t>Mokonomika</w:t>
      </w:r>
      <w:proofErr w:type="spellEnd"/>
      <w:r>
        <w:rPr>
          <w:color w:val="000000"/>
        </w:rPr>
        <w:t xml:space="preserve">“, „Sakmės apie Klaipėdą“, „Gyvybės medis“ . </w:t>
      </w:r>
    </w:p>
    <w:p w:rsidR="002B2555" w:rsidRDefault="00F809EE" w:rsidP="002B2555">
      <w:pPr>
        <w:pStyle w:val="prastasiniatinklio"/>
        <w:spacing w:before="0" w:beforeAutospacing="0" w:after="0" w:afterAutospacing="0"/>
        <w:ind w:firstLine="709"/>
        <w:jc w:val="both"/>
        <w:rPr>
          <w:color w:val="000000"/>
        </w:rPr>
      </w:pPr>
      <w:r>
        <w:rPr>
          <w:color w:val="000000"/>
        </w:rPr>
        <w:t xml:space="preserve">Kokybišką ugdymo organizavimą rodo mokinių pasiekimai miesto, respublikos konkursuose: tarptautiniame kompiuterinių piešinių konkurse „Velykų stebuklai 2022“ užimta III vieta; respublikiniame </w:t>
      </w:r>
      <w:proofErr w:type="spellStart"/>
      <w:r>
        <w:rPr>
          <w:color w:val="000000"/>
        </w:rPr>
        <w:t>esė</w:t>
      </w:r>
      <w:proofErr w:type="spellEnd"/>
      <w:r>
        <w:rPr>
          <w:color w:val="000000"/>
        </w:rPr>
        <w:t xml:space="preserve"> vertimų konkurse, skirtame Europos kalbų dienai paminėti</w:t>
      </w:r>
      <w:r w:rsidR="00BB552B">
        <w:rPr>
          <w:color w:val="000000"/>
        </w:rPr>
        <w:t>,</w:t>
      </w:r>
      <w:r>
        <w:rPr>
          <w:color w:val="000000"/>
        </w:rPr>
        <w:t xml:space="preserve"> – I vieta; respublikiniame fantastinių komiksų prancūzų kalba virtualiame konkurse „Misija Marsas“ laimėtos dvi II vietos; iškovota II vieta kūrybiniame šalies konkurse „Mūsų kalbinis kultūrinis kraštovaizdis“; šalies konkurse „Lietuva ‒ jūrinė valstybė“ mokinio darbas įvertintas III vieta; respublikinėje pasaulio pažinimo olimpiadoje ,,Mano gaublys 2022“ laimėta II vieta; Klaipėdos miesto mokyklų 5–8 klasių mokinių dailaus rašto konkurse „Žąsies plunksna“ 8 klasių mokinių grupėje užimta III vieta; Klaipėdos miesto raiškiojo skaitymo anglų kalba konkurse „</w:t>
      </w:r>
      <w:proofErr w:type="spellStart"/>
      <w:r>
        <w:rPr>
          <w:color w:val="000000"/>
        </w:rPr>
        <w:t>There</w:t>
      </w:r>
      <w:proofErr w:type="spellEnd"/>
      <w:r>
        <w:rPr>
          <w:color w:val="000000"/>
        </w:rPr>
        <w:t xml:space="preserve"> are </w:t>
      </w:r>
      <w:proofErr w:type="spellStart"/>
      <w:r>
        <w:rPr>
          <w:color w:val="000000"/>
        </w:rPr>
        <w:t>somanyreasons</w:t>
      </w:r>
      <w:proofErr w:type="spellEnd"/>
      <w:r>
        <w:rPr>
          <w:color w:val="000000"/>
        </w:rPr>
        <w:t xml:space="preserve"> to be </w:t>
      </w:r>
      <w:proofErr w:type="spellStart"/>
      <w:r>
        <w:rPr>
          <w:color w:val="000000"/>
        </w:rPr>
        <w:t>happy</w:t>
      </w:r>
      <w:proofErr w:type="spellEnd"/>
      <w:r>
        <w:rPr>
          <w:color w:val="000000"/>
        </w:rPr>
        <w:t xml:space="preserve">“ iškovota II vieta; tarptautiniame skaitmeninių piešinių konkurse laimėta III vieta. Mokykla tapo viena iš TOP 10 mokyklų Klaipėdos regione pagal mokinių, gavusių I žinių lygmenį patvirtinantį diplomą matematikos, pasaulio pažinimo KINGS olimpiados finale, skaičių. Kūrybiniai mokinių darbai buvo eksponuojami Klaipėdos miesto Imanuelio Kanto viešojoje bibliotekoje, BĮ Lietuvos Aklųjų </w:t>
      </w:r>
      <w:r>
        <w:rPr>
          <w:color w:val="000000"/>
        </w:rPr>
        <w:lastRenderedPageBreak/>
        <w:t xml:space="preserve">bibliotekoje, publikuojami svetainėje „Švietimo naujienos“ bei Progimnazijos internetinėje svetainėje. </w:t>
      </w:r>
    </w:p>
    <w:p w:rsidR="00BB2FEF" w:rsidRDefault="00F809EE" w:rsidP="002B2555">
      <w:pPr>
        <w:pStyle w:val="prastasiniatinklio"/>
        <w:spacing w:before="0" w:beforeAutospacing="0" w:after="0" w:afterAutospacing="0"/>
        <w:ind w:firstLine="709"/>
        <w:jc w:val="both"/>
        <w:rPr>
          <w:color w:val="000000"/>
        </w:rPr>
      </w:pPr>
      <w:r>
        <w:rPr>
          <w:color w:val="000000"/>
        </w:rPr>
        <w:t xml:space="preserve">2021–2022 mokslo metus baigė </w:t>
      </w:r>
      <w:r w:rsidRPr="00BB552B">
        <w:rPr>
          <w:color w:val="000000"/>
        </w:rPr>
        <w:t>394 mokiniai</w:t>
      </w:r>
      <w:r w:rsidR="00BB552B" w:rsidRPr="00BB552B">
        <w:rPr>
          <w:color w:val="000000"/>
        </w:rPr>
        <w:t>.</w:t>
      </w:r>
      <w:r>
        <w:rPr>
          <w:color w:val="000000"/>
        </w:rPr>
        <w:t xml:space="preserve"> Vienas mokinys (5–8 klasės) paliktas kartoti kurso. Bendras 1–8 klasių mokinių pažangumas – 99,75 proc.: 1–4 klasėse – 100 proc., 5–8 klasių – 99,43 proc. 2021–2022 m. m. aukštesniuoju mokymosi lygiu baigė 16,5 proc. 1–4 klasių mokinių, 5–8 klasėse </w:t>
      </w:r>
      <w:r w:rsidR="00A15062">
        <w:rPr>
          <w:color w:val="000000"/>
        </w:rPr>
        <w:t>–</w:t>
      </w:r>
      <w:r>
        <w:rPr>
          <w:color w:val="000000"/>
        </w:rPr>
        <w:t xml:space="preserve"> 5,5 proc. mokinių. Pradinio ugdymo programą baigė ir pažymėjimus įgijo 100 proc. 4 klasės mokinių, Pagrindinio ugdymo I pakopos programą baigė ir pažymėjimus įgij</w:t>
      </w:r>
      <w:r w:rsidR="00BB2FEF">
        <w:rPr>
          <w:color w:val="000000"/>
        </w:rPr>
        <w:t>o 96,7 proc. 8 klasės mokiniai.</w:t>
      </w:r>
    </w:p>
    <w:p w:rsidR="00BB2FEF" w:rsidRDefault="00F809EE" w:rsidP="002B2555">
      <w:pPr>
        <w:pStyle w:val="prastasiniatinklio"/>
        <w:spacing w:before="0" w:beforeAutospacing="0" w:after="0" w:afterAutospacing="0"/>
        <w:ind w:firstLine="709"/>
        <w:jc w:val="both"/>
        <w:rPr>
          <w:color w:val="000000"/>
        </w:rPr>
      </w:pPr>
      <w:r>
        <w:rPr>
          <w:color w:val="000000"/>
        </w:rPr>
        <w:t xml:space="preserve">Įgyvendinant antrąjį uždavinį – sudaryti sąlygas įtraukiojo ugdymo sistemos kūrimui </w:t>
      </w:r>
      <w:r w:rsidR="00D96D45">
        <w:rPr>
          <w:color w:val="000000"/>
        </w:rPr>
        <w:t xml:space="preserve">– </w:t>
      </w:r>
      <w:r>
        <w:rPr>
          <w:color w:val="000000"/>
        </w:rPr>
        <w:t>buvo teikiama švietimo pagalba skirtingų poreikių (specialiųjų, mokymosi sunkumų, elgesio, nuo karo nukentėjusių, grįžusių iš užsienio) turintiems mokiniams ir jų tėvams. Progimnazijoje stiprinamos įtraukiojo ugdymo nuostatos: organizuoti renginiai (padėkos popietė „Saulėtekio spindulys“, akcija „Gera daryti gera“, „</w:t>
      </w:r>
      <w:proofErr w:type="spellStart"/>
      <w:r>
        <w:rPr>
          <w:color w:val="000000"/>
        </w:rPr>
        <w:t>Disleksija</w:t>
      </w:r>
      <w:proofErr w:type="spellEnd"/>
      <w:r>
        <w:rPr>
          <w:color w:val="000000"/>
        </w:rPr>
        <w:t xml:space="preserve"> – ne liga“, kalėdinė bendruomenės šventė „Karaliaus puota“), buvo </w:t>
      </w:r>
      <w:r w:rsidR="00D96D45">
        <w:rPr>
          <w:color w:val="000000"/>
        </w:rPr>
        <w:t xml:space="preserve">formuojamas </w:t>
      </w:r>
      <w:r>
        <w:rPr>
          <w:color w:val="000000"/>
        </w:rPr>
        <w:t xml:space="preserve">teigiamas mikroklimatas, </w:t>
      </w:r>
      <w:r w:rsidR="00D96D45">
        <w:rPr>
          <w:color w:val="000000"/>
        </w:rPr>
        <w:t xml:space="preserve">kuriamos </w:t>
      </w:r>
      <w:r>
        <w:rPr>
          <w:color w:val="000000"/>
        </w:rPr>
        <w:t>saugesnės ir patrauklesnės mokymosi aplinkos, stiprinamas visų mokinių saugumas. Progimnazijos psichologė atliko pirmokų adaptacijos tyrimą (dalyvavo 47 mokiniai ir 29 tėvai). Surinkti ir apibendrinti duomenys leidžia spręsti, kad Progimnazijos pirmokų adaptacija vyko sėkmingai. Pasikeitus mokytojams 3b ir 4b klasėse</w:t>
      </w:r>
      <w:r w:rsidR="00D96D45">
        <w:rPr>
          <w:color w:val="000000"/>
        </w:rPr>
        <w:t>,</w:t>
      </w:r>
      <w:r>
        <w:rPr>
          <w:color w:val="000000"/>
        </w:rPr>
        <w:t xml:space="preserve"> stebėta mokinių emocinė būsena, buvo atlikti mikroklimato tyrimai (da</w:t>
      </w:r>
      <w:r w:rsidR="00BB2FEF">
        <w:rPr>
          <w:color w:val="000000"/>
        </w:rPr>
        <w:t>lyvavo 31 mokinys, 14 tėvų).</w:t>
      </w:r>
    </w:p>
    <w:p w:rsidR="00BB2FEF" w:rsidRDefault="00F809EE" w:rsidP="002B2555">
      <w:pPr>
        <w:pStyle w:val="prastasiniatinklio"/>
        <w:spacing w:before="0" w:beforeAutospacing="0" w:after="0" w:afterAutospacing="0"/>
        <w:ind w:firstLine="709"/>
        <w:jc w:val="both"/>
        <w:rPr>
          <w:color w:val="000000"/>
        </w:rPr>
      </w:pPr>
      <w:r>
        <w:rPr>
          <w:color w:val="000000"/>
        </w:rPr>
        <w:t>Progimnazijoje kiekvienai klasei (5–8 klasių grupė) organizuota 20 LIONS QUEST gyvenimo įgūdžių ugdymo programos „Paauglystės kryžkelės“ užsiėmimų, kuriuos vedė mokyklos psicholog</w:t>
      </w:r>
      <w:r w:rsidR="00A15062">
        <w:rPr>
          <w:color w:val="000000"/>
        </w:rPr>
        <w:t>as</w:t>
      </w:r>
      <w:r>
        <w:rPr>
          <w:color w:val="000000"/>
        </w:rPr>
        <w:t xml:space="preserve"> ir socialin</w:t>
      </w:r>
      <w:r w:rsidR="00A15062">
        <w:rPr>
          <w:color w:val="000000"/>
        </w:rPr>
        <w:t>is</w:t>
      </w:r>
      <w:r>
        <w:rPr>
          <w:color w:val="000000"/>
        </w:rPr>
        <w:t xml:space="preserve"> pedagog</w:t>
      </w:r>
      <w:r w:rsidR="00A15062">
        <w:rPr>
          <w:color w:val="000000"/>
        </w:rPr>
        <w:t>as</w:t>
      </w:r>
      <w:r>
        <w:rPr>
          <w:color w:val="000000"/>
        </w:rPr>
        <w:t>. Progimnazijai bendradarbiaujant su Klaipėdos miesto pedagogine psichologine tarnyba (toliau – PPT)</w:t>
      </w:r>
      <w:r w:rsidR="00A15062">
        <w:rPr>
          <w:color w:val="000000"/>
        </w:rPr>
        <w:t>,</w:t>
      </w:r>
      <w:r>
        <w:rPr>
          <w:color w:val="000000"/>
        </w:rPr>
        <w:t xml:space="preserve"> 2022-12-15 organizuota metodinė diena „Šiuolaikinės mokyklos iššūkiai“. 2022-02-22 PPT psichologas vedė paskaitą 5</w:t>
      </w:r>
      <w:r w:rsidR="00A15062">
        <w:rPr>
          <w:color w:val="000000"/>
        </w:rPr>
        <w:t>–</w:t>
      </w:r>
      <w:r>
        <w:rPr>
          <w:color w:val="000000"/>
        </w:rPr>
        <w:t xml:space="preserve">8 klasių mokinių tėvams „Vaiko psichologinė raida: paauglystė“ (22 tėvai). 2022-12-19 mokyklos logopedė Klaipėdos miesto logopedų metodiniame būrelyje skaitė pranešimą „Sėkmingas kalbos ugdymas, naudojant </w:t>
      </w:r>
      <w:proofErr w:type="spellStart"/>
      <w:r>
        <w:rPr>
          <w:color w:val="000000"/>
        </w:rPr>
        <w:t>Forbrain</w:t>
      </w:r>
      <w:proofErr w:type="spellEnd"/>
      <w:r>
        <w:rPr>
          <w:color w:val="000000"/>
        </w:rPr>
        <w:t xml:space="preserve"> ausines“. Progimnazijoje organizuota Vaiko gerovės komisijos narių ir mokytojų padėjėjų apskrito stalo diskusija „Mokinių, turinčių raidos sutrikimų, ugdymo ypatumai. Mokytojo padėjėjo vaidmuo“ (9 dalyviai). Metodinėse grupėse buvo tariamasi ir ieškoma naujų veiksnių, priemonių, lemiančių geresnę individualią vaiko pažangą. </w:t>
      </w:r>
    </w:p>
    <w:p w:rsidR="00BB2FEF" w:rsidRDefault="00F809EE" w:rsidP="002B2555">
      <w:pPr>
        <w:pStyle w:val="prastasiniatinklio"/>
        <w:spacing w:before="0" w:beforeAutospacing="0" w:after="0" w:afterAutospacing="0"/>
        <w:ind w:firstLine="709"/>
        <w:jc w:val="both"/>
        <w:rPr>
          <w:color w:val="000000"/>
        </w:rPr>
      </w:pPr>
      <w:r>
        <w:rPr>
          <w:color w:val="000000"/>
        </w:rPr>
        <w:t>Nuo 2022 m. kovo mėnesio Progimnazijoje ugdomi 48 mokiniai, atvykę iš Ukrainos</w:t>
      </w:r>
      <w:r w:rsidR="00305EE6">
        <w:rPr>
          <w:color w:val="000000"/>
        </w:rPr>
        <w:t xml:space="preserve"> dėl Rusijos Federacijos karo veiksmų</w:t>
      </w:r>
      <w:r>
        <w:rPr>
          <w:color w:val="000000"/>
        </w:rPr>
        <w:t xml:space="preserve">. 38 proc. mokytojų kėlė kvalifikaciją, kaip </w:t>
      </w:r>
      <w:r w:rsidR="00A15062">
        <w:rPr>
          <w:color w:val="000000"/>
        </w:rPr>
        <w:t>minėtus</w:t>
      </w:r>
      <w:r>
        <w:rPr>
          <w:color w:val="000000"/>
        </w:rPr>
        <w:t xml:space="preserve"> mokinius sėkmingai integruoti į ugdymo procesą. Nuo 2022-09-01 Progimnazijoje veikia 4 pailgintos dienos grupės (2021 m. – 3; 2020 m. – 2), kuriose 92 1–4 klasių mokiniams užtikrinamas saugus, kryptingas vaikų ugdymas ir užimtumas po pamokų. 2022 m. Progimnazijos mokiniams organizuotos dvi vasaros stovyklos: patyriminė stovykla „Pajusk, pažink, išmėgink“ (1–4 klasių mokiniams, 10 mokinių) ir teatrinių užsiėmimų stovykla „Vasaros žaidimų aikštelė“ (5</w:t>
      </w:r>
      <w:r w:rsidR="00BB2FEF">
        <w:rPr>
          <w:color w:val="000000"/>
        </w:rPr>
        <w:t xml:space="preserve"> klasių mokiniams, 14 mokinių).</w:t>
      </w:r>
    </w:p>
    <w:p w:rsidR="00305EE6" w:rsidRDefault="00F809EE" w:rsidP="002B2555">
      <w:pPr>
        <w:pStyle w:val="prastasiniatinklio"/>
        <w:spacing w:before="0" w:beforeAutospacing="0" w:after="0" w:afterAutospacing="0"/>
        <w:ind w:firstLine="709"/>
        <w:jc w:val="both"/>
        <w:rPr>
          <w:color w:val="000000"/>
        </w:rPr>
      </w:pPr>
      <w:r>
        <w:rPr>
          <w:color w:val="000000"/>
        </w:rPr>
        <w:t>Įgyvendinant trečiąjį uždavinį – efektyvinti veiklas, lemiančias veiksmingą mokinių, mokytojų ir tėvų bendradarbiavimą – Progimnazijoje buvo organizuojami 36 klasės tėvų susirinkimai, 2 Tėvų tarybos posėdžiai, 3 bendri tėvų, mokytojų ir administracijos susirinkimai. 2022-02-24 organizuotas 8 klasių mokinių tėvų susirinkimas (dalyvavo 87 proc. mokinių tėvų), kuriame buvo pristatyt</w:t>
      </w:r>
      <w:r w:rsidR="0065445F">
        <w:rPr>
          <w:color w:val="000000"/>
        </w:rPr>
        <w:t>os</w:t>
      </w:r>
      <w:r>
        <w:rPr>
          <w:color w:val="000000"/>
        </w:rPr>
        <w:t xml:space="preserve"> Klaipėdos miesto gimnazij</w:t>
      </w:r>
      <w:r w:rsidR="0065445F">
        <w:rPr>
          <w:color w:val="000000"/>
        </w:rPr>
        <w:t>os</w:t>
      </w:r>
      <w:r>
        <w:rPr>
          <w:color w:val="000000"/>
        </w:rPr>
        <w:t>, profesin</w:t>
      </w:r>
      <w:r w:rsidR="0065445F">
        <w:rPr>
          <w:color w:val="000000"/>
        </w:rPr>
        <w:t>ės</w:t>
      </w:r>
      <w:r>
        <w:rPr>
          <w:color w:val="000000"/>
        </w:rPr>
        <w:t xml:space="preserve"> mokykl</w:t>
      </w:r>
      <w:r w:rsidR="0065445F">
        <w:rPr>
          <w:color w:val="000000"/>
        </w:rPr>
        <w:t>os</w:t>
      </w:r>
      <w:r>
        <w:rPr>
          <w:color w:val="000000"/>
        </w:rPr>
        <w:t xml:space="preserve">, kalbėta apie mokinių pasirengimą mokytis gimnazijoje, Nacionalinių mokinių pasiekimų patikrinimo organizavimą. 2022-06-08 būsimų 1 klasių mokinių tėvams (dalyvavo 92 proc. mokinių tėvų) pristatytas ugdymo proceso organizavimas, neformaliojo švietimo programų pasiūla, pagalbos mokiniui teikimas. 2022-11-10 </w:t>
      </w:r>
    </w:p>
    <w:p w:rsidR="002B2555" w:rsidRDefault="00F809EE" w:rsidP="00305EE6">
      <w:pPr>
        <w:pStyle w:val="prastasiniatinklio"/>
        <w:spacing w:before="0" w:beforeAutospacing="0" w:after="0" w:afterAutospacing="0"/>
        <w:jc w:val="both"/>
        <w:rPr>
          <w:color w:val="000000"/>
        </w:rPr>
      </w:pPr>
      <w:r>
        <w:rPr>
          <w:color w:val="000000"/>
        </w:rPr>
        <w:t xml:space="preserve">5 klasių mokinių tėvų (dalyvavo 85 proc.) susirinkime buvo aptarta mokinių adaptacija dalykinėje sistemoje, ugdymo turinio atnaujinimo aspektai. Progimnazijoje vykdytas tėvų švietimas: 2022-09-25 – paskaita 1 klasių tėvams „Vaiko kalbos raida: vertinimas, pagalba“, 2022-12-28 – Klaipėdos socialinės ir psichologinės pagalbos centro psichologės užsiėmimas 5–8 klasių tėvams „Išgyventi šeimoje su paaugliu: misija įmanoma?/!“ (dalyvavo 12 tėvų). Informacija apie mokinių pasiekimus, vykdomą veiklą, projektus teikiama mokyklos internetinėje svetainėje www.sauletekiskl.lt, elektroniniame dienyne www.manodienynas.lt, socialinio tinklo „Facebook“ paskyroje, šalies </w:t>
      </w:r>
      <w:r>
        <w:rPr>
          <w:color w:val="000000"/>
        </w:rPr>
        <w:lastRenderedPageBreak/>
        <w:t xml:space="preserve">spaudoje, skatino mokinių pedagogų ir mokinių kūrybiškumą, pasididžiavimo jausmą ir norą tobulėti, siekį aktyviau įsitraukti į kitas veiklas, dalyvauti konkursuose, parodose. </w:t>
      </w:r>
    </w:p>
    <w:p w:rsidR="00F809EE" w:rsidRDefault="00F809EE" w:rsidP="002B2555">
      <w:pPr>
        <w:pStyle w:val="prastasiniatinklio"/>
        <w:spacing w:before="0" w:beforeAutospacing="0" w:after="0" w:afterAutospacing="0"/>
        <w:ind w:firstLine="709"/>
        <w:jc w:val="both"/>
        <w:rPr>
          <w:color w:val="000000"/>
        </w:rPr>
      </w:pPr>
      <w:r>
        <w:rPr>
          <w:color w:val="000000"/>
        </w:rPr>
        <w:t>Siekiant Strateginio plano antrojo tikslo – užtikrinti saugią, sveiką ir šiuolaikinius ugdymo(</w:t>
      </w:r>
      <w:proofErr w:type="spellStart"/>
      <w:r>
        <w:rPr>
          <w:color w:val="000000"/>
        </w:rPr>
        <w:t>si</w:t>
      </w:r>
      <w:proofErr w:type="spellEnd"/>
      <w:r>
        <w:rPr>
          <w:color w:val="000000"/>
        </w:rPr>
        <w:t>) reikalavimus atitinkančią aplinką – Progimnazijos veikla buvo orientuojama į edukacinių aplinkų kūrimą, patalpų būklės atnaujinimą, šiuolaikinių ugdymo(</w:t>
      </w:r>
      <w:proofErr w:type="spellStart"/>
      <w:r>
        <w:rPr>
          <w:color w:val="000000"/>
        </w:rPr>
        <w:t>si</w:t>
      </w:r>
      <w:proofErr w:type="spellEnd"/>
      <w:r>
        <w:rPr>
          <w:color w:val="000000"/>
        </w:rPr>
        <w:t>) priemonių įsigijimą. Suremontuoti 3 mokomieji kabinetai (muzikos, pradinių klasių ir istorijos), įrengti 2 nauji pagalbos mokiniui specialistų kabinetai, įrengtas naujas WC darbuotojams, nupirktas naujas mokyklinių baldų komplektas istorijos kabinetui (30 mokyklinių suolų, kėdžių, 2 spintos), mokyklinės kėdės (30 vnt.), mokytojų stalai (4 vnt.) ir kėdės (15 vnt.), lentynos bibliotekai (3 vnt.), įdiegta vaizdo stebėjimo sistema (nupirktos 2 vaizdo kameros), įsigytos naujos kompiuterinės ir skaitmeninės mokymo(</w:t>
      </w:r>
      <w:proofErr w:type="spellStart"/>
      <w:r>
        <w:rPr>
          <w:color w:val="000000"/>
        </w:rPr>
        <w:t>si</w:t>
      </w:r>
      <w:proofErr w:type="spellEnd"/>
      <w:r>
        <w:rPr>
          <w:color w:val="000000"/>
        </w:rPr>
        <w:t xml:space="preserve">) priemonės (2 vnt. interaktyvių ekranų SMART MX 75, 6 vnt. stacionarių kompiuterių </w:t>
      </w:r>
      <w:proofErr w:type="spellStart"/>
      <w:r>
        <w:rPr>
          <w:color w:val="000000"/>
        </w:rPr>
        <w:t>OptiPlex</w:t>
      </w:r>
      <w:proofErr w:type="spellEnd"/>
      <w:r>
        <w:rPr>
          <w:color w:val="000000"/>
        </w:rPr>
        <w:t xml:space="preserve"> 3090 SFF su monitoriumi Dell Se2422H (6 vnt.); 123 vnt. „Eduka klasė“ licencij</w:t>
      </w:r>
      <w:r w:rsidR="0039284D">
        <w:rPr>
          <w:color w:val="000000"/>
        </w:rPr>
        <w:t>ų</w:t>
      </w:r>
      <w:r>
        <w:rPr>
          <w:color w:val="000000"/>
        </w:rPr>
        <w:t>, 11 vnt. interaktyvių mokymosi turinio kūrimo platformos „</w:t>
      </w:r>
      <w:proofErr w:type="spellStart"/>
      <w:r>
        <w:rPr>
          <w:color w:val="000000"/>
        </w:rPr>
        <w:t>Wordwall</w:t>
      </w:r>
      <w:proofErr w:type="spellEnd"/>
      <w:r>
        <w:rPr>
          <w:color w:val="000000"/>
        </w:rPr>
        <w:t>“ licencijų, 2 vnt. kompiuterinių užduočių rinkinių konstruktoriai (5+6 ir 7+8 klasėms matematikos TEV licencija).</w:t>
      </w:r>
    </w:p>
    <w:p w:rsidR="00F809EE" w:rsidRDefault="00F809EE" w:rsidP="00F809EE">
      <w:pPr>
        <w:pStyle w:val="prastasiniatinklio"/>
        <w:spacing w:before="0" w:beforeAutospacing="0" w:after="0" w:afterAutospacing="0"/>
        <w:ind w:firstLine="739"/>
        <w:jc w:val="both"/>
      </w:pPr>
      <w:r>
        <w:t>2022 m. Progimnazijos finansinė situacija buvo tokia:</w:t>
      </w:r>
    </w:p>
    <w:tbl>
      <w:tblPr>
        <w:tblStyle w:val="Lentelstinklelis"/>
        <w:tblW w:w="0" w:type="auto"/>
        <w:tblInd w:w="31" w:type="dxa"/>
        <w:tblLook w:val="04A0" w:firstRow="1" w:lastRow="0" w:firstColumn="1" w:lastColumn="0" w:noHBand="0" w:noVBand="1"/>
      </w:tblPr>
      <w:tblGrid>
        <w:gridCol w:w="2062"/>
        <w:gridCol w:w="1470"/>
        <w:gridCol w:w="1216"/>
        <w:gridCol w:w="1283"/>
        <w:gridCol w:w="3566"/>
      </w:tblGrid>
      <w:tr w:rsidR="00F809EE" w:rsidTr="00F809EE">
        <w:trPr>
          <w:tblHeader/>
        </w:trPr>
        <w:tc>
          <w:tcPr>
            <w:tcW w:w="2197" w:type="dxa"/>
            <w:vMerge w:val="restart"/>
            <w:tcBorders>
              <w:top w:val="single" w:sz="4" w:space="0" w:color="auto"/>
              <w:left w:val="single" w:sz="4" w:space="0" w:color="auto"/>
              <w:bottom w:val="single" w:sz="4" w:space="0" w:color="auto"/>
              <w:right w:val="single" w:sz="4" w:space="0" w:color="auto"/>
            </w:tcBorders>
            <w:hideMark/>
          </w:tcPr>
          <w:p w:rsidR="00F809EE" w:rsidRDefault="00F809EE">
            <w:pPr>
              <w:jc w:val="center"/>
            </w:pPr>
            <w:r>
              <w:t>Finansavimo šaltinis</w:t>
            </w:r>
          </w:p>
        </w:tc>
        <w:tc>
          <w:tcPr>
            <w:tcW w:w="3334" w:type="dxa"/>
            <w:gridSpan w:val="3"/>
            <w:tcBorders>
              <w:top w:val="single" w:sz="4" w:space="0" w:color="auto"/>
              <w:left w:val="single" w:sz="4" w:space="0" w:color="auto"/>
              <w:bottom w:val="single" w:sz="4" w:space="0" w:color="auto"/>
              <w:right w:val="single" w:sz="4" w:space="0" w:color="auto"/>
            </w:tcBorders>
            <w:hideMark/>
          </w:tcPr>
          <w:p w:rsidR="00F809EE" w:rsidRDefault="00F809EE">
            <w:pPr>
              <w:jc w:val="center"/>
            </w:pPr>
            <w:r>
              <w:t>Lėšos (tūkst. Eur)</w:t>
            </w:r>
          </w:p>
        </w:tc>
        <w:tc>
          <w:tcPr>
            <w:tcW w:w="3987" w:type="dxa"/>
            <w:vMerge w:val="restart"/>
            <w:tcBorders>
              <w:top w:val="single" w:sz="4" w:space="0" w:color="auto"/>
              <w:left w:val="single" w:sz="4" w:space="0" w:color="auto"/>
              <w:bottom w:val="single" w:sz="4" w:space="0" w:color="auto"/>
              <w:right w:val="single" w:sz="4" w:space="0" w:color="auto"/>
            </w:tcBorders>
          </w:tcPr>
          <w:p w:rsidR="00F809EE" w:rsidRDefault="00F809EE">
            <w:pPr>
              <w:jc w:val="center"/>
            </w:pPr>
            <w:r>
              <w:t>Pastabos</w:t>
            </w:r>
          </w:p>
          <w:p w:rsidR="00F809EE" w:rsidRDefault="00F809EE">
            <w:pPr>
              <w:jc w:val="center"/>
            </w:pPr>
          </w:p>
        </w:tc>
      </w:tr>
      <w:tr w:rsidR="00F809EE" w:rsidTr="00F809EE">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9EE" w:rsidRDefault="00F809EE"/>
        </w:tc>
        <w:tc>
          <w:tcPr>
            <w:tcW w:w="1261"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Planas (patikslintas)</w:t>
            </w:r>
          </w:p>
        </w:tc>
        <w:tc>
          <w:tcPr>
            <w:tcW w:w="1080"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Panaudota lėšų</w:t>
            </w:r>
          </w:p>
        </w:tc>
        <w:tc>
          <w:tcPr>
            <w:tcW w:w="993"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9EE" w:rsidRDefault="00F809EE"/>
        </w:tc>
      </w:tr>
      <w:tr w:rsidR="00F809EE" w:rsidTr="00F809EE">
        <w:trPr>
          <w:trHeight w:val="415"/>
        </w:trPr>
        <w:tc>
          <w:tcPr>
            <w:tcW w:w="2197" w:type="dxa"/>
            <w:tcBorders>
              <w:top w:val="single" w:sz="4" w:space="0" w:color="auto"/>
              <w:left w:val="single" w:sz="4" w:space="0" w:color="auto"/>
              <w:bottom w:val="single" w:sz="4" w:space="0" w:color="auto"/>
              <w:right w:val="single" w:sz="4" w:space="0" w:color="auto"/>
            </w:tcBorders>
            <w:hideMark/>
          </w:tcPr>
          <w:p w:rsidR="00F809EE" w:rsidRDefault="00F809EE">
            <w:r>
              <w:t>Savivaldybės biudžetas (SB)</w:t>
            </w:r>
          </w:p>
        </w:tc>
        <w:tc>
          <w:tcPr>
            <w:tcW w:w="1261"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328,600</w:t>
            </w:r>
          </w:p>
        </w:tc>
        <w:tc>
          <w:tcPr>
            <w:tcW w:w="1080"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324,562</w:t>
            </w:r>
          </w:p>
        </w:tc>
        <w:tc>
          <w:tcPr>
            <w:tcW w:w="993" w:type="dxa"/>
            <w:tcBorders>
              <w:top w:val="single" w:sz="4" w:space="0" w:color="auto"/>
              <w:left w:val="single" w:sz="4" w:space="0" w:color="auto"/>
              <w:bottom w:val="single" w:sz="4" w:space="0" w:color="auto"/>
              <w:right w:val="single" w:sz="4" w:space="0" w:color="auto"/>
            </w:tcBorders>
            <w:hideMark/>
          </w:tcPr>
          <w:p w:rsidR="00F809EE" w:rsidRDefault="00F809EE">
            <w:pPr>
              <w:jc w:val="center"/>
              <w:rPr>
                <w:lang w:val="en-US"/>
              </w:rPr>
            </w:pPr>
            <w:r>
              <w:t>98,77</w:t>
            </w:r>
          </w:p>
        </w:tc>
        <w:tc>
          <w:tcPr>
            <w:tcW w:w="3987" w:type="dxa"/>
            <w:tcBorders>
              <w:top w:val="single" w:sz="4" w:space="0" w:color="auto"/>
              <w:left w:val="single" w:sz="4" w:space="0" w:color="auto"/>
              <w:bottom w:val="single" w:sz="4" w:space="0" w:color="auto"/>
              <w:right w:val="single" w:sz="4" w:space="0" w:color="auto"/>
            </w:tcBorders>
            <w:hideMark/>
          </w:tcPr>
          <w:p w:rsidR="00F809EE" w:rsidRDefault="00F809EE">
            <w:r>
              <w:t xml:space="preserve">Nepanaudotos lėšos, skirtos </w:t>
            </w:r>
            <w:proofErr w:type="spellStart"/>
            <w:r>
              <w:t>Europiados</w:t>
            </w:r>
            <w:proofErr w:type="spellEnd"/>
            <w:r>
              <w:t xml:space="preserve"> dalyvių apgyvendinimui (nesinaudojo paslauga), dalis lėšų, skirtų mokinių pavėžėjimo ir nemokamo maitinimo išlaidų kompensavimui, dėl nuotolinio mokymo pandemijos metu, mokinių ligų</w:t>
            </w:r>
          </w:p>
        </w:tc>
      </w:tr>
      <w:tr w:rsidR="00F809EE" w:rsidTr="00F809EE">
        <w:trPr>
          <w:trHeight w:val="659"/>
        </w:trPr>
        <w:tc>
          <w:tcPr>
            <w:tcW w:w="2197" w:type="dxa"/>
            <w:tcBorders>
              <w:top w:val="single" w:sz="4" w:space="0" w:color="auto"/>
              <w:left w:val="single" w:sz="4" w:space="0" w:color="auto"/>
              <w:bottom w:val="single" w:sz="4" w:space="0" w:color="auto"/>
              <w:right w:val="single" w:sz="4" w:space="0" w:color="auto"/>
            </w:tcBorders>
            <w:hideMark/>
          </w:tcPr>
          <w:p w:rsidR="00F809EE" w:rsidRDefault="00F809EE">
            <w:r>
              <w:t>Specialioji tikslinė dotacija (VB)</w:t>
            </w:r>
          </w:p>
        </w:tc>
        <w:tc>
          <w:tcPr>
            <w:tcW w:w="1261"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882,272</w:t>
            </w:r>
          </w:p>
        </w:tc>
        <w:tc>
          <w:tcPr>
            <w:tcW w:w="1080"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880,740</w:t>
            </w:r>
          </w:p>
        </w:tc>
        <w:tc>
          <w:tcPr>
            <w:tcW w:w="993"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99,83</w:t>
            </w:r>
          </w:p>
        </w:tc>
        <w:tc>
          <w:tcPr>
            <w:tcW w:w="3987" w:type="dxa"/>
            <w:tcBorders>
              <w:top w:val="single" w:sz="4" w:space="0" w:color="auto"/>
              <w:left w:val="single" w:sz="4" w:space="0" w:color="auto"/>
              <w:bottom w:val="single" w:sz="4" w:space="0" w:color="auto"/>
              <w:right w:val="single" w:sz="4" w:space="0" w:color="auto"/>
            </w:tcBorders>
            <w:hideMark/>
          </w:tcPr>
          <w:p w:rsidR="00F809EE" w:rsidRDefault="00F809EE">
            <w:r>
              <w:t>Nepanaudota dalis lėšų, skirtų mokinių nemokamo maitinimo išlaidų kompensavimui, dėl nuotolinio mokymo pandemijos metu, mokinių ligų</w:t>
            </w:r>
          </w:p>
        </w:tc>
      </w:tr>
      <w:tr w:rsidR="00F809EE" w:rsidTr="00F809EE">
        <w:tc>
          <w:tcPr>
            <w:tcW w:w="2197" w:type="dxa"/>
            <w:tcBorders>
              <w:top w:val="single" w:sz="4" w:space="0" w:color="auto"/>
              <w:left w:val="single" w:sz="4" w:space="0" w:color="auto"/>
              <w:bottom w:val="single" w:sz="4" w:space="0" w:color="auto"/>
              <w:right w:val="single" w:sz="4" w:space="0" w:color="auto"/>
            </w:tcBorders>
            <w:hideMark/>
          </w:tcPr>
          <w:p w:rsidR="00F809EE" w:rsidRDefault="00F809EE">
            <w:r>
              <w:t>Įstaigos gautos pajamos (surinkta pajamų SP), iš jų:</w:t>
            </w:r>
          </w:p>
        </w:tc>
        <w:tc>
          <w:tcPr>
            <w:tcW w:w="1261" w:type="dxa"/>
            <w:tcBorders>
              <w:top w:val="single" w:sz="4" w:space="0" w:color="auto"/>
              <w:left w:val="single" w:sz="4" w:space="0" w:color="auto"/>
              <w:bottom w:val="single" w:sz="4" w:space="0" w:color="auto"/>
              <w:right w:val="single" w:sz="4" w:space="0" w:color="auto"/>
            </w:tcBorders>
          </w:tcPr>
          <w:p w:rsidR="00F809EE" w:rsidRDefault="00F809EE">
            <w:pPr>
              <w:jc w:val="center"/>
            </w:pPr>
            <w:r>
              <w:t>17,400</w:t>
            </w:r>
          </w:p>
          <w:p w:rsidR="00F809EE" w:rsidRDefault="00F809EE">
            <w:pPr>
              <w:jc w:val="center"/>
            </w:pPr>
          </w:p>
          <w:p w:rsidR="00F809EE" w:rsidRDefault="00F809EE">
            <w:pPr>
              <w:jc w:val="center"/>
            </w:pPr>
          </w:p>
        </w:tc>
        <w:tc>
          <w:tcPr>
            <w:tcW w:w="1080" w:type="dxa"/>
            <w:tcBorders>
              <w:top w:val="single" w:sz="4" w:space="0" w:color="auto"/>
              <w:left w:val="single" w:sz="4" w:space="0" w:color="auto"/>
              <w:bottom w:val="single" w:sz="4" w:space="0" w:color="auto"/>
              <w:right w:val="single" w:sz="4" w:space="0" w:color="auto"/>
            </w:tcBorders>
            <w:hideMark/>
          </w:tcPr>
          <w:p w:rsidR="00F809EE" w:rsidRDefault="00F809EE">
            <w:pPr>
              <w:jc w:val="center"/>
              <w:rPr>
                <w:color w:val="000000" w:themeColor="text1"/>
              </w:rPr>
            </w:pPr>
            <w:r>
              <w:rPr>
                <w:color w:val="000000" w:themeColor="text1"/>
              </w:rPr>
              <w:t>18,086</w:t>
            </w:r>
          </w:p>
        </w:tc>
        <w:tc>
          <w:tcPr>
            <w:tcW w:w="993" w:type="dxa"/>
            <w:tcBorders>
              <w:top w:val="single" w:sz="4" w:space="0" w:color="auto"/>
              <w:left w:val="single" w:sz="4" w:space="0" w:color="auto"/>
              <w:bottom w:val="single" w:sz="4" w:space="0" w:color="auto"/>
              <w:right w:val="single" w:sz="4" w:space="0" w:color="auto"/>
            </w:tcBorders>
            <w:hideMark/>
          </w:tcPr>
          <w:p w:rsidR="00F809EE" w:rsidRDefault="00F809EE">
            <w:pPr>
              <w:jc w:val="center"/>
              <w:rPr>
                <w:color w:val="000000" w:themeColor="text1"/>
              </w:rPr>
            </w:pPr>
            <w:r>
              <w:rPr>
                <w:color w:val="000000" w:themeColor="text1"/>
              </w:rPr>
              <w:t>103,95</w:t>
            </w:r>
          </w:p>
        </w:tc>
        <w:tc>
          <w:tcPr>
            <w:tcW w:w="3987" w:type="dxa"/>
            <w:tcBorders>
              <w:top w:val="single" w:sz="4" w:space="0" w:color="auto"/>
              <w:left w:val="single" w:sz="4" w:space="0" w:color="auto"/>
              <w:bottom w:val="single" w:sz="4" w:space="0" w:color="auto"/>
              <w:right w:val="single" w:sz="4" w:space="0" w:color="auto"/>
            </w:tcBorders>
            <w:hideMark/>
          </w:tcPr>
          <w:p w:rsidR="00F809EE" w:rsidRDefault="00F809EE">
            <w:pPr>
              <w:rPr>
                <w:color w:val="000000" w:themeColor="text1"/>
              </w:rPr>
            </w:pPr>
          </w:p>
        </w:tc>
      </w:tr>
      <w:tr w:rsidR="00F809EE" w:rsidTr="00F809EE">
        <w:trPr>
          <w:trHeight w:val="143"/>
        </w:trPr>
        <w:tc>
          <w:tcPr>
            <w:tcW w:w="2197" w:type="dxa"/>
            <w:tcBorders>
              <w:top w:val="single" w:sz="4" w:space="0" w:color="auto"/>
              <w:left w:val="single" w:sz="4" w:space="0" w:color="auto"/>
              <w:bottom w:val="single" w:sz="4" w:space="0" w:color="auto"/>
              <w:right w:val="single" w:sz="4" w:space="0" w:color="auto"/>
            </w:tcBorders>
            <w:hideMark/>
          </w:tcPr>
          <w:p w:rsidR="00F809EE" w:rsidRDefault="00F809EE">
            <w:r>
              <w:t>Pajamų išlaidos (SP)</w:t>
            </w:r>
          </w:p>
        </w:tc>
        <w:tc>
          <w:tcPr>
            <w:tcW w:w="1261"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17,400</w:t>
            </w:r>
          </w:p>
        </w:tc>
        <w:tc>
          <w:tcPr>
            <w:tcW w:w="1080"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10,887</w:t>
            </w:r>
          </w:p>
        </w:tc>
        <w:tc>
          <w:tcPr>
            <w:tcW w:w="993"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60,19</w:t>
            </w:r>
          </w:p>
        </w:tc>
        <w:tc>
          <w:tcPr>
            <w:tcW w:w="3987" w:type="dxa"/>
            <w:tcBorders>
              <w:top w:val="single" w:sz="4" w:space="0" w:color="auto"/>
              <w:left w:val="single" w:sz="4" w:space="0" w:color="auto"/>
              <w:bottom w:val="single" w:sz="4" w:space="0" w:color="auto"/>
              <w:right w:val="single" w:sz="4" w:space="0" w:color="auto"/>
            </w:tcBorders>
          </w:tcPr>
          <w:p w:rsidR="00F809EE" w:rsidRDefault="00F809EE"/>
        </w:tc>
      </w:tr>
      <w:tr w:rsidR="00F809EE" w:rsidTr="00F809EE">
        <w:trPr>
          <w:trHeight w:val="125"/>
        </w:trPr>
        <w:tc>
          <w:tcPr>
            <w:tcW w:w="2197" w:type="dxa"/>
            <w:tcBorders>
              <w:top w:val="single" w:sz="4" w:space="0" w:color="auto"/>
              <w:left w:val="single" w:sz="4" w:space="0" w:color="auto"/>
              <w:bottom w:val="single" w:sz="4" w:space="0" w:color="auto"/>
              <w:right w:val="single" w:sz="4" w:space="0" w:color="auto"/>
            </w:tcBorders>
            <w:hideMark/>
          </w:tcPr>
          <w:p w:rsidR="00F809EE" w:rsidRDefault="00F809EE">
            <w:r>
              <w:t>Projektų finansavimas (ES; VB;SB)</w:t>
            </w:r>
          </w:p>
        </w:tc>
        <w:tc>
          <w:tcPr>
            <w:tcW w:w="1261"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1,724</w:t>
            </w:r>
          </w:p>
        </w:tc>
        <w:tc>
          <w:tcPr>
            <w:tcW w:w="1080"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1,432</w:t>
            </w:r>
          </w:p>
        </w:tc>
        <w:tc>
          <w:tcPr>
            <w:tcW w:w="993"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83,09</w:t>
            </w:r>
          </w:p>
        </w:tc>
        <w:tc>
          <w:tcPr>
            <w:tcW w:w="3987" w:type="dxa"/>
            <w:tcBorders>
              <w:top w:val="single" w:sz="4" w:space="0" w:color="auto"/>
              <w:left w:val="single" w:sz="4" w:space="0" w:color="auto"/>
              <w:bottom w:val="single" w:sz="4" w:space="0" w:color="auto"/>
              <w:right w:val="single" w:sz="4" w:space="0" w:color="auto"/>
            </w:tcBorders>
            <w:hideMark/>
          </w:tcPr>
          <w:p w:rsidR="00F809EE" w:rsidRDefault="00F809EE">
            <w:r>
              <w:t xml:space="preserve">Nepanaudota dalis ES lėšų, skirtų karjeros specialisto atlyginimui, nes informacija ir dokumentai gauti pavėluotai </w:t>
            </w:r>
          </w:p>
        </w:tc>
      </w:tr>
      <w:tr w:rsidR="00F809EE" w:rsidTr="00F809EE">
        <w:tc>
          <w:tcPr>
            <w:tcW w:w="2197" w:type="dxa"/>
            <w:tcBorders>
              <w:top w:val="single" w:sz="4" w:space="0" w:color="auto"/>
              <w:left w:val="single" w:sz="4" w:space="0" w:color="auto"/>
              <w:bottom w:val="single" w:sz="4" w:space="0" w:color="auto"/>
              <w:right w:val="single" w:sz="4" w:space="0" w:color="auto"/>
            </w:tcBorders>
            <w:hideMark/>
          </w:tcPr>
          <w:p w:rsidR="00F809EE" w:rsidRDefault="00F809EE">
            <w:r>
              <w:t>Kitos lėšos (parama 2 % GM ir kt.)</w:t>
            </w:r>
          </w:p>
        </w:tc>
        <w:tc>
          <w:tcPr>
            <w:tcW w:w="1261"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2,914</w:t>
            </w:r>
          </w:p>
        </w:tc>
        <w:tc>
          <w:tcPr>
            <w:tcW w:w="1080"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3,504</w:t>
            </w:r>
          </w:p>
        </w:tc>
        <w:tc>
          <w:tcPr>
            <w:tcW w:w="993"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120</w:t>
            </w:r>
          </w:p>
        </w:tc>
        <w:tc>
          <w:tcPr>
            <w:tcW w:w="3987" w:type="dxa"/>
            <w:tcBorders>
              <w:top w:val="single" w:sz="4" w:space="0" w:color="auto"/>
              <w:left w:val="single" w:sz="4" w:space="0" w:color="auto"/>
              <w:bottom w:val="single" w:sz="4" w:space="0" w:color="auto"/>
              <w:right w:val="single" w:sz="4" w:space="0" w:color="auto"/>
            </w:tcBorders>
            <w:hideMark/>
          </w:tcPr>
          <w:p w:rsidR="00F809EE" w:rsidRDefault="00F809EE">
            <w:r>
              <w:t xml:space="preserve">Surinktos paramos lėšos kaupiamos Progimnazijos tarybos pritarimu </w:t>
            </w:r>
          </w:p>
        </w:tc>
      </w:tr>
      <w:tr w:rsidR="00F809EE" w:rsidTr="00F809EE">
        <w:trPr>
          <w:trHeight w:val="152"/>
        </w:trPr>
        <w:tc>
          <w:tcPr>
            <w:tcW w:w="2197" w:type="dxa"/>
            <w:tcBorders>
              <w:top w:val="single" w:sz="4" w:space="0" w:color="auto"/>
              <w:left w:val="single" w:sz="4" w:space="0" w:color="auto"/>
              <w:bottom w:val="single" w:sz="4" w:space="0" w:color="auto"/>
              <w:right w:val="single" w:sz="4" w:space="0" w:color="auto"/>
            </w:tcBorders>
            <w:hideMark/>
          </w:tcPr>
          <w:p w:rsidR="00F809EE" w:rsidRDefault="00F809EE">
            <w:r>
              <w:t>Iš viso</w:t>
            </w:r>
          </w:p>
        </w:tc>
        <w:tc>
          <w:tcPr>
            <w:tcW w:w="1261"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1232,91</w:t>
            </w:r>
          </w:p>
        </w:tc>
        <w:tc>
          <w:tcPr>
            <w:tcW w:w="1080"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1239,21</w:t>
            </w:r>
          </w:p>
        </w:tc>
        <w:tc>
          <w:tcPr>
            <w:tcW w:w="993" w:type="dxa"/>
            <w:tcBorders>
              <w:top w:val="single" w:sz="4" w:space="0" w:color="auto"/>
              <w:left w:val="single" w:sz="4" w:space="0" w:color="auto"/>
              <w:bottom w:val="single" w:sz="4" w:space="0" w:color="auto"/>
              <w:right w:val="single" w:sz="4" w:space="0" w:color="auto"/>
            </w:tcBorders>
            <w:hideMark/>
          </w:tcPr>
          <w:p w:rsidR="00F809EE" w:rsidRDefault="00F809EE">
            <w:pPr>
              <w:jc w:val="center"/>
            </w:pPr>
            <w:r>
              <w:t>100,51</w:t>
            </w:r>
          </w:p>
        </w:tc>
        <w:tc>
          <w:tcPr>
            <w:tcW w:w="3987" w:type="dxa"/>
            <w:tcBorders>
              <w:top w:val="single" w:sz="4" w:space="0" w:color="auto"/>
              <w:left w:val="single" w:sz="4" w:space="0" w:color="auto"/>
              <w:bottom w:val="single" w:sz="4" w:space="0" w:color="auto"/>
              <w:right w:val="single" w:sz="4" w:space="0" w:color="auto"/>
            </w:tcBorders>
          </w:tcPr>
          <w:p w:rsidR="00F809EE" w:rsidRDefault="00F809EE">
            <w:pPr>
              <w:jc w:val="center"/>
            </w:pPr>
          </w:p>
        </w:tc>
      </w:tr>
      <w:tr w:rsidR="00F809EE" w:rsidTr="00F809EE">
        <w:tc>
          <w:tcPr>
            <w:tcW w:w="4538" w:type="dxa"/>
            <w:gridSpan w:val="3"/>
            <w:tcBorders>
              <w:top w:val="single" w:sz="4" w:space="0" w:color="auto"/>
              <w:left w:val="single" w:sz="4" w:space="0" w:color="auto"/>
              <w:bottom w:val="single" w:sz="4" w:space="0" w:color="auto"/>
              <w:right w:val="single" w:sz="4" w:space="0" w:color="auto"/>
            </w:tcBorders>
            <w:hideMark/>
          </w:tcPr>
          <w:p w:rsidR="00F809EE" w:rsidRDefault="00F809EE">
            <w:r>
              <w:t>Kreditinis įsiskolinimas (pagal visus finansavimo šaltini</w:t>
            </w:r>
            <w:r w:rsidR="00BB2FEF">
              <w:t>us) 2023 m. sausio 1 d. – 0 Eur</w:t>
            </w:r>
          </w:p>
        </w:tc>
        <w:tc>
          <w:tcPr>
            <w:tcW w:w="993" w:type="dxa"/>
            <w:tcBorders>
              <w:top w:val="single" w:sz="4" w:space="0" w:color="auto"/>
              <w:left w:val="single" w:sz="4" w:space="0" w:color="auto"/>
              <w:bottom w:val="single" w:sz="4" w:space="0" w:color="auto"/>
              <w:right w:val="single" w:sz="4" w:space="0" w:color="auto"/>
            </w:tcBorders>
          </w:tcPr>
          <w:p w:rsidR="00F809EE" w:rsidRDefault="00F809EE"/>
        </w:tc>
        <w:tc>
          <w:tcPr>
            <w:tcW w:w="3987" w:type="dxa"/>
            <w:tcBorders>
              <w:top w:val="single" w:sz="4" w:space="0" w:color="auto"/>
              <w:left w:val="single" w:sz="4" w:space="0" w:color="auto"/>
              <w:bottom w:val="single" w:sz="4" w:space="0" w:color="auto"/>
              <w:right w:val="single" w:sz="4" w:space="0" w:color="auto"/>
            </w:tcBorders>
          </w:tcPr>
          <w:p w:rsidR="00F809EE" w:rsidRDefault="00F809EE"/>
        </w:tc>
      </w:tr>
    </w:tbl>
    <w:p w:rsidR="00F809EE" w:rsidRDefault="00F809EE" w:rsidP="00F809EE">
      <w:pPr>
        <w:tabs>
          <w:tab w:val="left" w:pos="6976"/>
          <w:tab w:val="left" w:pos="7543"/>
        </w:tabs>
        <w:ind w:firstLine="745"/>
        <w:jc w:val="both"/>
        <w:rPr>
          <w:lang w:eastAsia="lt-LT"/>
        </w:rPr>
      </w:pPr>
    </w:p>
    <w:p w:rsidR="002B2555" w:rsidRDefault="00F809EE" w:rsidP="002B2555">
      <w:pPr>
        <w:ind w:firstLine="709"/>
        <w:jc w:val="both"/>
      </w:pPr>
      <w:r>
        <w:t xml:space="preserve">2022 m. Progimnazijos veiklą tikrino Klaipėdos miesto savivaldybės administracijos Švietimo skyriaus specialistai: </w:t>
      </w:r>
      <w:r w:rsidR="0039284D">
        <w:t>vykdyta</w:t>
      </w:r>
      <w:r>
        <w:t xml:space="preserve"> matematikos ir chemijos valstybinių brandos egzaminų </w:t>
      </w:r>
      <w:r w:rsidR="0039284D">
        <w:t>organizavimo priežiūra</w:t>
      </w:r>
      <w:r>
        <w:t>, pažeidimų nenustatyta; atlikt</w:t>
      </w:r>
      <w:r w:rsidR="0039284D">
        <w:t>i</w:t>
      </w:r>
      <w:r>
        <w:t xml:space="preserve"> </w:t>
      </w:r>
      <w:r w:rsidR="0039284D">
        <w:t>vertinimai</w:t>
      </w:r>
      <w:r>
        <w:t xml:space="preserve"> dėl sveikatos, lytiškumo bei rengimo šeimai bendrosios programos įgyvendinimo; dėl konsultacinių valandų, skirtų mokinių </w:t>
      </w:r>
      <w:r>
        <w:lastRenderedPageBreak/>
        <w:t>mokymosi praradimams kompensuoti, panaudojimo. L</w:t>
      </w:r>
      <w:r w:rsidR="0039284D">
        <w:t xml:space="preserve">ietuvos </w:t>
      </w:r>
      <w:r>
        <w:t>R</w:t>
      </w:r>
      <w:r w:rsidR="0039284D">
        <w:t>espublikos š</w:t>
      </w:r>
      <w:r>
        <w:t xml:space="preserve">vietimo, mokslo ir sporto ministerija </w:t>
      </w:r>
      <w:r w:rsidR="0039284D">
        <w:t>(toliau – ŠMSM)</w:t>
      </w:r>
      <w:r>
        <w:t>atliko patikrinimą dėl ukrainiečių integracijos mokykloje.</w:t>
      </w:r>
    </w:p>
    <w:p w:rsidR="002B2555" w:rsidRDefault="00F809EE" w:rsidP="002B2555">
      <w:pPr>
        <w:ind w:firstLine="709"/>
        <w:jc w:val="both"/>
      </w:pPr>
      <w:r>
        <w:t xml:space="preserve">2022 m. spalio 28 d. atliktas Klaipėdos miesto Priešgaisrinės gelbėjimo valdybos planinis priešgaisrinis techninis patikrinimas. </w:t>
      </w:r>
      <w:r w:rsidR="0039284D">
        <w:t>Pažeidimų</w:t>
      </w:r>
      <w:r>
        <w:t xml:space="preserve"> nerasta.</w:t>
      </w:r>
    </w:p>
    <w:p w:rsidR="002B2555" w:rsidRDefault="00F809EE" w:rsidP="002B2555">
      <w:pPr>
        <w:ind w:firstLine="709"/>
        <w:jc w:val="both"/>
      </w:pPr>
      <w:r>
        <w:t>2022 m. Progimnazijoje liko neišspręstos šios vidaus ir išorės faktorių sąlygotos problemos: kvalifikuotų mokytojų trūkumas (matematikos, geografijos, neformaliojo švietimo); didėjant klasių komplektų skaičiui, trūksta kabinetų, todėl būtina pusrūsio renovacija; nepakanka lėšų vadovėlių ir mokyklinių baldų įsigijimui, žaliuzėms, kondicionieriams.</w:t>
      </w:r>
    </w:p>
    <w:p w:rsidR="002B2555" w:rsidRDefault="00F809EE" w:rsidP="002B2555">
      <w:pPr>
        <w:ind w:firstLine="709"/>
        <w:jc w:val="both"/>
      </w:pPr>
      <w:r>
        <w:t>Progimnazija</w:t>
      </w:r>
      <w:r w:rsidR="0039284D">
        <w:t>, rengdamasi</w:t>
      </w:r>
      <w:r>
        <w:t xml:space="preserve"> dalyvau</w:t>
      </w:r>
      <w:r w:rsidR="0039284D">
        <w:t>ti</w:t>
      </w:r>
      <w:r>
        <w:t xml:space="preserve"> ŠMSM pažangos programoje „Tūkstantmečio mokykla“, planuoja pagerinti </w:t>
      </w:r>
      <w:r w:rsidR="00DE7548">
        <w:t>Progimnazijos</w:t>
      </w:r>
      <w:r>
        <w:t xml:space="preserve"> infrastruktūrą. Siekiant užtikrinti ugdymo paslaugų kokybę, šiuolaikinius reikalavimus atitinkančią saugią ir sveiką aplinką, būtina spręsti šias problemas: 1) atnaujinti klasių vandentiekio vamzdžius; 2) įrengti vėdinimo sistemą; 3) atnaujinti klasių elektros instaliaciją; 4) atlikti 1–3 aukštų koridorių ir 8 kabinetų remontus; 5) įrengti pusrūsio patalpas, 5 kabinetus ir mokinių poilsio zonas.</w:t>
      </w:r>
    </w:p>
    <w:p w:rsidR="004C067A" w:rsidRDefault="00F809EE" w:rsidP="002B2555">
      <w:pPr>
        <w:ind w:firstLine="709"/>
        <w:jc w:val="both"/>
      </w:pPr>
      <w:r>
        <w:t>Planuojant 2023 m. veiklą, Progimnazijos bendruomenė susitarė dėl prioritetų: mokomųjų dalykų turinio integralumo, ugdant mokinių dalykines ir asmenines kompetencijas; veiksmingos švietimo pagalbos teikimo užtikrinimo, sudarant tinkamas sąlygas kiekvienam moki</w:t>
      </w:r>
      <w:r w:rsidR="002B2555">
        <w:t>niui siekti asmeninės pažangos.</w:t>
      </w:r>
    </w:p>
    <w:p w:rsidR="004C067A" w:rsidRDefault="004C067A" w:rsidP="004C067A"/>
    <w:p w:rsidR="00106049" w:rsidRDefault="00106049" w:rsidP="004C067A"/>
    <w:p w:rsidR="004C067A" w:rsidRDefault="002B2555" w:rsidP="004C067A">
      <w:r>
        <w:t>Direktor</w:t>
      </w:r>
      <w:r w:rsidR="00DE7548">
        <w:t>ė</w:t>
      </w:r>
      <w:r>
        <w:t xml:space="preserve"> </w:t>
      </w:r>
      <w:r>
        <w:tab/>
      </w:r>
      <w:r>
        <w:tab/>
      </w:r>
      <w:r>
        <w:tab/>
      </w:r>
      <w:r>
        <w:tab/>
      </w:r>
      <w:r>
        <w:tab/>
      </w:r>
      <w:r>
        <w:tab/>
        <w:t xml:space="preserve">           Daiva Vilk</w:t>
      </w:r>
      <w:r w:rsidR="00106049">
        <w:t>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5215E">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6049"/>
    <w:rsid w:val="0019615E"/>
    <w:rsid w:val="002B2555"/>
    <w:rsid w:val="00305EE6"/>
    <w:rsid w:val="0034183E"/>
    <w:rsid w:val="0039284D"/>
    <w:rsid w:val="004476DD"/>
    <w:rsid w:val="004C067A"/>
    <w:rsid w:val="00597EE8"/>
    <w:rsid w:val="005B434A"/>
    <w:rsid w:val="005F1D3F"/>
    <w:rsid w:val="005F495C"/>
    <w:rsid w:val="00616F5A"/>
    <w:rsid w:val="0065445F"/>
    <w:rsid w:val="00677042"/>
    <w:rsid w:val="00703C1C"/>
    <w:rsid w:val="007B1666"/>
    <w:rsid w:val="00804381"/>
    <w:rsid w:val="00832CC9"/>
    <w:rsid w:val="008354D5"/>
    <w:rsid w:val="008E6E82"/>
    <w:rsid w:val="00A15062"/>
    <w:rsid w:val="00A339BB"/>
    <w:rsid w:val="00AF7D08"/>
    <w:rsid w:val="00B50971"/>
    <w:rsid w:val="00B750B6"/>
    <w:rsid w:val="00BB2FEF"/>
    <w:rsid w:val="00BB552B"/>
    <w:rsid w:val="00C57681"/>
    <w:rsid w:val="00CA4D3B"/>
    <w:rsid w:val="00D23A87"/>
    <w:rsid w:val="00D42B72"/>
    <w:rsid w:val="00D5215E"/>
    <w:rsid w:val="00D57F27"/>
    <w:rsid w:val="00D96D45"/>
    <w:rsid w:val="00DD319C"/>
    <w:rsid w:val="00DE7548"/>
    <w:rsid w:val="00E33871"/>
    <w:rsid w:val="00E56A73"/>
    <w:rsid w:val="00F1275A"/>
    <w:rsid w:val="00F72A1E"/>
    <w:rsid w:val="00F809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F809EE"/>
    <w:pPr>
      <w:spacing w:before="100" w:beforeAutospacing="1" w:after="100" w:afterAutospacing="1"/>
    </w:pPr>
    <w:rPr>
      <w:lang w:eastAsia="lt-LT"/>
    </w:rPr>
  </w:style>
  <w:style w:type="paragraph" w:styleId="Betarp">
    <w:name w:val="No Spacing"/>
    <w:uiPriority w:val="1"/>
    <w:qFormat/>
    <w:rsid w:val="00F809E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72862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07707944">
      <w:bodyDiv w:val="1"/>
      <w:marLeft w:val="0"/>
      <w:marRight w:val="0"/>
      <w:marTop w:val="0"/>
      <w:marBottom w:val="0"/>
      <w:divBdr>
        <w:top w:val="none" w:sz="0" w:space="0" w:color="auto"/>
        <w:left w:val="none" w:sz="0" w:space="0" w:color="auto"/>
        <w:bottom w:val="none" w:sz="0" w:space="0" w:color="auto"/>
        <w:right w:val="none" w:sz="0" w:space="0" w:color="auto"/>
      </w:divBdr>
    </w:div>
    <w:div w:id="1382486305">
      <w:bodyDiv w:val="1"/>
      <w:marLeft w:val="0"/>
      <w:marRight w:val="0"/>
      <w:marTop w:val="0"/>
      <w:marBottom w:val="0"/>
      <w:divBdr>
        <w:top w:val="none" w:sz="0" w:space="0" w:color="auto"/>
        <w:left w:val="none" w:sz="0" w:space="0" w:color="auto"/>
        <w:bottom w:val="none" w:sz="0" w:space="0" w:color="auto"/>
        <w:right w:val="none" w:sz="0" w:space="0" w:color="auto"/>
      </w:divBdr>
    </w:div>
    <w:div w:id="2075543354">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8364</Words>
  <Characters>4769</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6</cp:revision>
  <cp:lastPrinted>2023-05-04T06:09:00Z</cp:lastPrinted>
  <dcterms:created xsi:type="dcterms:W3CDTF">2023-03-10T13:08:00Z</dcterms:created>
  <dcterms:modified xsi:type="dcterms:W3CDTF">2023-05-04T06:09:00Z</dcterms:modified>
</cp:coreProperties>
</file>